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193D" w14:textId="7F89A443" w:rsidR="006C0C23" w:rsidRPr="00B20E5B" w:rsidRDefault="00787C6B" w:rsidP="0000287F">
      <w:pPr>
        <w:autoSpaceDE w:val="0"/>
        <w:autoSpaceDN w:val="0"/>
        <w:adjustRightInd w:val="0"/>
        <w:spacing w:after="0" w:line="240" w:lineRule="auto"/>
        <w:jc w:val="center"/>
        <w:rPr>
          <w:rFonts w:ascii="Arial" w:hAnsi="Arial" w:cs="Arial"/>
          <w:b/>
          <w:iCs/>
          <w:color w:val="000000"/>
          <w:sz w:val="24"/>
          <w:szCs w:val="24"/>
        </w:rPr>
      </w:pPr>
      <w:bookmarkStart w:id="0" w:name="_GoBack"/>
      <w:r>
        <w:rPr>
          <w:rFonts w:ascii="Arial" w:hAnsi="Arial"/>
          <w:b/>
          <w:color w:val="000000"/>
          <w:sz w:val="24"/>
        </w:rPr>
        <w:t>El profesor Mark Wilcox presenta su último estudio en el ECCMID 2018</w:t>
      </w:r>
    </w:p>
    <w:bookmarkEnd w:id="0"/>
    <w:p w14:paraId="4AA309A2" w14:textId="77777777" w:rsidR="00B76EF7" w:rsidRPr="00E962CB" w:rsidRDefault="00B76EF7" w:rsidP="0000287F">
      <w:pPr>
        <w:autoSpaceDE w:val="0"/>
        <w:autoSpaceDN w:val="0"/>
        <w:adjustRightInd w:val="0"/>
        <w:spacing w:after="0" w:line="240" w:lineRule="auto"/>
        <w:jc w:val="center"/>
        <w:rPr>
          <w:rFonts w:ascii="Arial" w:hAnsi="Arial" w:cs="Arial"/>
          <w:b/>
          <w:iCs/>
          <w:color w:val="000000"/>
          <w:sz w:val="24"/>
          <w:szCs w:val="24"/>
        </w:rPr>
      </w:pPr>
    </w:p>
    <w:p w14:paraId="6BB568D6" w14:textId="77777777" w:rsidR="00202D7C" w:rsidRDefault="00E93F65" w:rsidP="0000287F">
      <w:pPr>
        <w:autoSpaceDE w:val="0"/>
        <w:autoSpaceDN w:val="0"/>
        <w:adjustRightInd w:val="0"/>
        <w:spacing w:after="0" w:line="240" w:lineRule="auto"/>
        <w:jc w:val="center"/>
        <w:rPr>
          <w:rFonts w:ascii="Arial" w:hAnsi="Arial" w:cs="Arial"/>
          <w:b/>
          <w:i/>
          <w:iCs/>
          <w:color w:val="000000"/>
          <w:sz w:val="24"/>
          <w:szCs w:val="24"/>
        </w:rPr>
      </w:pPr>
      <w:r>
        <w:rPr>
          <w:rFonts w:ascii="Arial" w:hAnsi="Arial"/>
          <w:b/>
          <w:i/>
          <w:color w:val="000000"/>
          <w:sz w:val="24"/>
        </w:rPr>
        <w:t>Según la investigación, realizada en diversas instalaciones de tres países, los baños de hospital que usan toallitas de papel para el secado de manos tienen índices más bajos de contaminación y recuperación de microorganismos resistentes a los antimicrobianos.</w:t>
      </w:r>
    </w:p>
    <w:p w14:paraId="2983C38B" w14:textId="77777777" w:rsidR="00545A53" w:rsidRDefault="00545A53" w:rsidP="0000287F">
      <w:pPr>
        <w:autoSpaceDE w:val="0"/>
        <w:autoSpaceDN w:val="0"/>
        <w:adjustRightInd w:val="0"/>
        <w:spacing w:after="0" w:line="240" w:lineRule="auto"/>
        <w:jc w:val="center"/>
        <w:rPr>
          <w:rFonts w:ascii="Arial" w:hAnsi="Arial" w:cs="Arial"/>
          <w:b/>
          <w:i/>
          <w:iCs/>
          <w:color w:val="000000"/>
          <w:sz w:val="24"/>
          <w:szCs w:val="24"/>
        </w:rPr>
      </w:pPr>
    </w:p>
    <w:p w14:paraId="3B0E0FF0" w14:textId="77777777" w:rsidR="00B76EF7" w:rsidRPr="00050DCC" w:rsidRDefault="00B76EF7" w:rsidP="0000287F">
      <w:pPr>
        <w:autoSpaceDE w:val="0"/>
        <w:autoSpaceDN w:val="0"/>
        <w:adjustRightInd w:val="0"/>
        <w:spacing w:after="0" w:line="240" w:lineRule="auto"/>
        <w:jc w:val="center"/>
        <w:rPr>
          <w:rFonts w:ascii="Arial" w:hAnsi="Arial" w:cs="Arial"/>
          <w:b/>
          <w:i/>
          <w:iCs/>
          <w:color w:val="000000"/>
        </w:rPr>
      </w:pPr>
    </w:p>
    <w:p w14:paraId="25864D05" w14:textId="655B4D90" w:rsidR="00C53000" w:rsidRPr="00E44318" w:rsidRDefault="00507E35" w:rsidP="00F8683B">
      <w:pPr>
        <w:spacing w:after="0"/>
        <w:jc w:val="both"/>
        <w:rPr>
          <w:rFonts w:ascii="Arial" w:hAnsi="Arial" w:cs="Arial"/>
          <w:iCs/>
          <w:color w:val="000000"/>
        </w:rPr>
      </w:pPr>
      <w:r>
        <w:rPr>
          <w:rFonts w:ascii="Arial" w:hAnsi="Arial"/>
          <w:b/>
        </w:rPr>
        <w:t>Bruselas (Bélgica), 2</w:t>
      </w:r>
      <w:r w:rsidR="00F8683B">
        <w:rPr>
          <w:rFonts w:ascii="Arial" w:hAnsi="Arial"/>
          <w:b/>
        </w:rPr>
        <w:t>7</w:t>
      </w:r>
      <w:r>
        <w:rPr>
          <w:rFonts w:ascii="Arial" w:hAnsi="Arial"/>
          <w:b/>
        </w:rPr>
        <w:t xml:space="preserve"> de abril de 2018. El profesor Mark Wilcox</w:t>
      </w:r>
      <w:r>
        <w:rPr>
          <w:rFonts w:ascii="Arial" w:hAnsi="Arial"/>
          <w:color w:val="000000"/>
        </w:rPr>
        <w:t xml:space="preserve"> ha presentado sus últimas investigaciones en el congreso </w:t>
      </w:r>
      <w:hyperlink r:id="rId8" w:history="1">
        <w:r w:rsidRPr="003E6568">
          <w:rPr>
            <w:rStyle w:val="Hyperlink"/>
            <w:rFonts w:ascii="Arial" w:hAnsi="Arial"/>
          </w:rPr>
          <w:t>ECCMID</w:t>
        </w:r>
      </w:hyperlink>
      <w:r>
        <w:rPr>
          <w:rFonts w:ascii="Arial" w:hAnsi="Arial"/>
          <w:color w:val="000000"/>
        </w:rPr>
        <w:t xml:space="preserve"> celebrado en Madrid este mes.</w:t>
      </w:r>
    </w:p>
    <w:p w14:paraId="2C4582B2" w14:textId="77777777" w:rsidR="00C53000" w:rsidRPr="00E44318" w:rsidRDefault="00C53000" w:rsidP="00F8683B">
      <w:pPr>
        <w:spacing w:after="0"/>
        <w:jc w:val="both"/>
        <w:rPr>
          <w:rFonts w:ascii="Arial" w:hAnsi="Arial" w:cs="Arial"/>
          <w:iCs/>
          <w:color w:val="000000"/>
        </w:rPr>
      </w:pPr>
    </w:p>
    <w:p w14:paraId="687CA011" w14:textId="0D380517" w:rsidR="00B1432A" w:rsidRPr="009E0031" w:rsidRDefault="00343147" w:rsidP="00F8683B">
      <w:pPr>
        <w:spacing w:after="0"/>
        <w:jc w:val="both"/>
        <w:rPr>
          <w:rFonts w:ascii="Arial" w:hAnsi="Arial" w:cs="Arial"/>
          <w:iCs/>
          <w:color w:val="000000"/>
        </w:rPr>
      </w:pPr>
      <w:r>
        <w:rPr>
          <w:rFonts w:ascii="Arial" w:hAnsi="Arial"/>
        </w:rPr>
        <w:t>El doctor Mark Wilcox, consultor y profesor de microbiología médica de la Leeds Teaching Hospitals &amp; University of Leeds (Reino Unido),</w:t>
      </w:r>
      <w:r>
        <w:rPr>
          <w:rFonts w:ascii="Arial" w:hAnsi="Arial"/>
          <w:color w:val="000000"/>
        </w:rPr>
        <w:t xml:space="preserve"> que ha concebido y dirigido el estudio, impartió una conferencia titulada </w:t>
      </w:r>
      <w:r>
        <w:rPr>
          <w:rFonts w:ascii="Arial" w:hAnsi="Arial"/>
          <w:i/>
          <w:color w:val="000000"/>
        </w:rPr>
        <w:t>“Multisite study to examine the extent of environmental contamination by potential bacterial pathogens, including antibiotic resistant bacteria, in hospital washrooms according to hand drying methods”</w:t>
      </w:r>
      <w:r>
        <w:rPr>
          <w:rFonts w:ascii="Arial" w:hAnsi="Arial"/>
          <w:color w:val="000000"/>
        </w:rPr>
        <w:t xml:space="preserve"> durante una de las exposiciones orales, </w:t>
      </w:r>
      <w:r>
        <w:rPr>
          <w:rFonts w:ascii="Arial" w:hAnsi="Arial"/>
          <w:i/>
          <w:color w:val="000000"/>
        </w:rPr>
        <w:t>“A journey in infection control: 2018”.</w:t>
      </w:r>
    </w:p>
    <w:p w14:paraId="721ADD95" w14:textId="77777777" w:rsidR="00A2043C" w:rsidRDefault="00A2043C" w:rsidP="00F8683B">
      <w:pPr>
        <w:spacing w:after="0"/>
        <w:jc w:val="both"/>
        <w:rPr>
          <w:rFonts w:ascii="Arial" w:hAnsi="Arial" w:cs="Arial"/>
          <w:iCs/>
          <w:color w:val="000000"/>
        </w:rPr>
      </w:pPr>
    </w:p>
    <w:p w14:paraId="10159DB3" w14:textId="2323A216" w:rsidR="00F615A4" w:rsidRPr="00E44318" w:rsidRDefault="00DF75A4" w:rsidP="00F8683B">
      <w:pPr>
        <w:autoSpaceDE w:val="0"/>
        <w:autoSpaceDN w:val="0"/>
        <w:adjustRightInd w:val="0"/>
        <w:spacing w:after="0"/>
        <w:jc w:val="both"/>
        <w:rPr>
          <w:rFonts w:ascii="Arial" w:hAnsi="Arial" w:cs="Arial"/>
          <w:iCs/>
          <w:color w:val="000000"/>
        </w:rPr>
      </w:pPr>
      <w:r>
        <w:rPr>
          <w:rFonts w:ascii="Arial" w:hAnsi="Arial"/>
          <w:color w:val="000000"/>
        </w:rPr>
        <w:t xml:space="preserve">Este estudio multicéntrico –patrocinado por ETS– se llevó a cabo en tres hospitales de Francia, Italia y el Reino Unido, utilizando dos baños por centro. El objetivo era medir la prevalencia de la contaminación ambiental en baños de hospital en relación con dos métodos de secado de manos: toallitas de papel o secadores de chorro de aire. En cada baño había solo uno de estos métodos de secado al mismo tiempo y se empleó un diseño cruzado para comparar los índices de contaminación bacteriana. Las bacterias estudiadas fueron la </w:t>
      </w:r>
      <w:r>
        <w:rPr>
          <w:rFonts w:ascii="Arial" w:hAnsi="Arial"/>
          <w:i/>
          <w:color w:val="000000"/>
        </w:rPr>
        <w:t>Staphylococcus aureus</w:t>
      </w:r>
      <w:r>
        <w:rPr>
          <w:rFonts w:ascii="Arial" w:hAnsi="Arial"/>
          <w:color w:val="000000"/>
        </w:rPr>
        <w:t xml:space="preserve"> susceptible (MSSA) y resistente a la meticilina (MRSA), enterococos como el enterococo resistente a la vancomicina (VRE), enterobacterias como la </w:t>
      </w:r>
      <w:r>
        <w:rPr>
          <w:rFonts w:ascii="Arial" w:hAnsi="Arial"/>
          <w:i/>
          <w:color w:val="000000"/>
        </w:rPr>
        <w:t>Escherichia coli</w:t>
      </w:r>
      <w:r>
        <w:rPr>
          <w:rFonts w:ascii="Arial" w:hAnsi="Arial"/>
          <w:color w:val="000000"/>
        </w:rPr>
        <w:t xml:space="preserve">, la </w:t>
      </w:r>
      <w:r>
        <w:rPr>
          <w:rFonts w:ascii="Arial" w:hAnsi="Arial"/>
          <w:i/>
          <w:color w:val="000000"/>
        </w:rPr>
        <w:t>Klebsiella</w:t>
      </w:r>
      <w:r>
        <w:rPr>
          <w:rFonts w:ascii="Arial" w:hAnsi="Arial"/>
          <w:color w:val="000000"/>
        </w:rPr>
        <w:t xml:space="preserve"> spp., las </w:t>
      </w:r>
      <w:r>
        <w:rPr>
          <w:rFonts w:ascii="Arial" w:hAnsi="Arial"/>
          <w:i/>
          <w:color w:val="000000"/>
        </w:rPr>
        <w:t>bacterias productoras de BLEE</w:t>
      </w:r>
      <w:r>
        <w:rPr>
          <w:rFonts w:ascii="Arial" w:hAnsi="Arial"/>
          <w:color w:val="000000"/>
        </w:rPr>
        <w:t xml:space="preserve"> y la </w:t>
      </w:r>
      <w:r>
        <w:rPr>
          <w:rFonts w:ascii="Arial" w:hAnsi="Arial"/>
          <w:i/>
          <w:color w:val="000000"/>
        </w:rPr>
        <w:t>Clostridium difficile</w:t>
      </w:r>
      <w:r>
        <w:rPr>
          <w:rFonts w:ascii="Arial" w:hAnsi="Arial"/>
          <w:color w:val="000000"/>
        </w:rPr>
        <w:t>.</w:t>
      </w:r>
    </w:p>
    <w:p w14:paraId="284F8743" w14:textId="77777777" w:rsidR="00346E0A" w:rsidRDefault="00346E0A" w:rsidP="00F8683B">
      <w:pPr>
        <w:autoSpaceDE w:val="0"/>
        <w:autoSpaceDN w:val="0"/>
        <w:adjustRightInd w:val="0"/>
        <w:spacing w:after="0"/>
        <w:jc w:val="both"/>
        <w:rPr>
          <w:rFonts w:ascii="Arial" w:hAnsi="Arial" w:cs="Arial"/>
          <w:iCs/>
          <w:color w:val="000000"/>
        </w:rPr>
      </w:pPr>
    </w:p>
    <w:p w14:paraId="0E04E7C4" w14:textId="2A40D009" w:rsidR="00A03FB4" w:rsidRDefault="00F615A4" w:rsidP="00F8683B">
      <w:pPr>
        <w:autoSpaceDE w:val="0"/>
        <w:autoSpaceDN w:val="0"/>
        <w:adjustRightInd w:val="0"/>
        <w:spacing w:after="0"/>
        <w:jc w:val="both"/>
        <w:rPr>
          <w:rFonts w:ascii="Arial" w:hAnsi="Arial" w:cs="Arial"/>
          <w:iCs/>
          <w:color w:val="000000"/>
        </w:rPr>
      </w:pPr>
      <w:r>
        <w:rPr>
          <w:rFonts w:ascii="Arial" w:hAnsi="Arial"/>
          <w:color w:val="000000"/>
        </w:rPr>
        <w:t>Los resultados del estudio revelan diferencias importantes en los índices de contaminación bacteriana entre los dos tipos de baños. En los lavabos provistos de secadores de chorro de aire se hallaron mayores cantidades de bacterias en suelos y en los propios secadores que en los baños equipados con toallitas de papel. En el Reino Unido, se encontró MRSA con una frecuencia tres veces mayor en las superficies de los baños provistos de secadores de chorro de aire que en los lavabos con toallitas de papel.</w:t>
      </w:r>
    </w:p>
    <w:p w14:paraId="6D3BF62F" w14:textId="77777777" w:rsidR="00B76EF7" w:rsidRPr="00E44318" w:rsidRDefault="00B76EF7" w:rsidP="00F8683B">
      <w:pPr>
        <w:autoSpaceDE w:val="0"/>
        <w:autoSpaceDN w:val="0"/>
        <w:adjustRightInd w:val="0"/>
        <w:spacing w:after="0"/>
        <w:jc w:val="both"/>
        <w:rPr>
          <w:rFonts w:ascii="Arial" w:hAnsi="Arial" w:cs="Arial"/>
          <w:iCs/>
          <w:color w:val="000000"/>
        </w:rPr>
      </w:pPr>
    </w:p>
    <w:p w14:paraId="30605AD1" w14:textId="3A6E91BF" w:rsidR="00B76EF7" w:rsidRPr="00E44318" w:rsidRDefault="00B76EF7" w:rsidP="00F8683B">
      <w:pPr>
        <w:autoSpaceDE w:val="0"/>
        <w:autoSpaceDN w:val="0"/>
        <w:adjustRightInd w:val="0"/>
        <w:spacing w:after="0"/>
        <w:jc w:val="both"/>
        <w:rPr>
          <w:rFonts w:ascii="Arial" w:hAnsi="Arial" w:cs="Arial"/>
          <w:iCs/>
          <w:color w:val="000000"/>
        </w:rPr>
      </w:pPr>
      <w:r>
        <w:rPr>
          <w:rFonts w:ascii="Arial" w:hAnsi="Arial"/>
          <w:color w:val="000000"/>
        </w:rPr>
        <w:t>El Congreso Europeo de Microbiología Clínica y Enfermedades Infecciosas (ECCMID por sus siglas inglesas) es uno de los más importantes en materia de enfermedades infecciosas, control de infecciones y microbiología clínica. Este gran foro internacional, ya en su 28.</w:t>
      </w:r>
      <w:r>
        <w:rPr>
          <w:rFonts w:ascii="Arial" w:hAnsi="Arial"/>
          <w:color w:val="000000"/>
          <w:vertAlign w:val="superscript"/>
        </w:rPr>
        <w:t>a</w:t>
      </w:r>
      <w:r>
        <w:rPr>
          <w:rFonts w:ascii="Arial" w:hAnsi="Arial"/>
          <w:color w:val="000000"/>
        </w:rPr>
        <w:t xml:space="preserve"> edición, reúne a unos 15.000 destacados especialistas que presentan y debaten los últimos avances. El completo programa del congreso, que se celebró del 21 al 24 de abril, incluyó conferencias, simposios, exposiciones orales, presentaciones con posters académicos y otras actividades.</w:t>
      </w:r>
    </w:p>
    <w:p w14:paraId="7B88D392" w14:textId="77777777" w:rsidR="0095617F" w:rsidRDefault="0095617F" w:rsidP="00F8683B">
      <w:pPr>
        <w:autoSpaceDE w:val="0"/>
        <w:autoSpaceDN w:val="0"/>
        <w:adjustRightInd w:val="0"/>
        <w:spacing w:after="0"/>
        <w:jc w:val="both"/>
        <w:rPr>
          <w:rFonts w:ascii="Arial" w:hAnsi="Arial" w:cs="Arial"/>
          <w:iCs/>
          <w:color w:val="000000"/>
        </w:rPr>
      </w:pPr>
    </w:p>
    <w:p w14:paraId="4B298B77" w14:textId="509D24A1" w:rsidR="00F615A4" w:rsidRDefault="00B76EF7" w:rsidP="00F8683B">
      <w:pPr>
        <w:autoSpaceDE w:val="0"/>
        <w:autoSpaceDN w:val="0"/>
        <w:adjustRightInd w:val="0"/>
        <w:spacing w:after="0"/>
        <w:jc w:val="both"/>
        <w:rPr>
          <w:rFonts w:ascii="Arial" w:hAnsi="Arial" w:cs="Arial"/>
          <w:bCs/>
        </w:rPr>
      </w:pPr>
      <w:r>
        <w:rPr>
          <w:rFonts w:ascii="Arial" w:hAnsi="Arial"/>
          <w:color w:val="000000"/>
        </w:rPr>
        <w:t>“</w:t>
      </w:r>
      <w:r>
        <w:rPr>
          <w:rFonts w:ascii="Arial" w:hAnsi="Arial"/>
          <w:i/>
          <w:color w:val="000000"/>
        </w:rPr>
        <w:t>Ha sido un gran honor que el profesor Wilcox presentara los resultados de su estudio en un congreso tan prestigioso como el ECCMID</w:t>
      </w:r>
      <w:r>
        <w:rPr>
          <w:rFonts w:ascii="Arial" w:hAnsi="Arial"/>
          <w:color w:val="000000"/>
        </w:rPr>
        <w:t xml:space="preserve">”, dice </w:t>
      </w:r>
      <w:r>
        <w:rPr>
          <w:rFonts w:ascii="Arial" w:hAnsi="Arial"/>
        </w:rPr>
        <w:t>Fanis Papakostas, presidente de ETS. “</w:t>
      </w:r>
      <w:r>
        <w:rPr>
          <w:rFonts w:ascii="Arial" w:hAnsi="Arial"/>
          <w:i/>
          <w:color w:val="000000"/>
        </w:rPr>
        <w:t xml:space="preserve">La </w:t>
      </w:r>
      <w:r>
        <w:rPr>
          <w:rFonts w:ascii="Arial" w:hAnsi="Arial"/>
          <w:i/>
          <w:color w:val="000000"/>
        </w:rPr>
        <w:lastRenderedPageBreak/>
        <w:t xml:space="preserve">higiene de las manos es uno de los factores más importantes de la prevención de infecciones. El estudio </w:t>
      </w:r>
      <w:r>
        <w:rPr>
          <w:rFonts w:ascii="Arial" w:hAnsi="Arial"/>
          <w:i/>
        </w:rPr>
        <w:t>demuestra que los hospitales que ofrecen toallitas de papel para el secado de manos en los baños, tal y como recomienda la Organización Mundial de la Salud (OMS), han tomado la decisión correcta para minimizar la propagación de bacterias como la MRSA, enterobacterias y enterococos</w:t>
      </w:r>
      <w:r>
        <w:rPr>
          <w:rFonts w:ascii="Arial" w:hAnsi="Arial"/>
        </w:rPr>
        <w:t>.”</w:t>
      </w:r>
    </w:p>
    <w:p w14:paraId="13D81ECA" w14:textId="77777777" w:rsidR="00F615A4" w:rsidRDefault="00F615A4" w:rsidP="00F8683B">
      <w:pPr>
        <w:autoSpaceDE w:val="0"/>
        <w:autoSpaceDN w:val="0"/>
        <w:adjustRightInd w:val="0"/>
        <w:spacing w:after="0"/>
        <w:jc w:val="both"/>
        <w:rPr>
          <w:rFonts w:ascii="Arial" w:hAnsi="Arial" w:cs="Arial"/>
          <w:bCs/>
        </w:rPr>
      </w:pPr>
    </w:p>
    <w:p w14:paraId="6521D497" w14:textId="77777777" w:rsidR="0095617F" w:rsidRDefault="0095617F" w:rsidP="00F8683B">
      <w:pPr>
        <w:autoSpaceDE w:val="0"/>
        <w:autoSpaceDN w:val="0"/>
        <w:adjustRightInd w:val="0"/>
        <w:spacing w:after="0"/>
        <w:jc w:val="both"/>
        <w:rPr>
          <w:rFonts w:ascii="Arial" w:hAnsi="Arial" w:cs="Arial"/>
          <w:bCs/>
        </w:rPr>
      </w:pPr>
    </w:p>
    <w:p w14:paraId="5DE5A14F" w14:textId="77777777" w:rsidR="00182F8A" w:rsidRPr="00E44318" w:rsidRDefault="00043967" w:rsidP="00F8683B">
      <w:pPr>
        <w:autoSpaceDE w:val="0"/>
        <w:autoSpaceDN w:val="0"/>
        <w:adjustRightInd w:val="0"/>
        <w:spacing w:after="0" w:line="240" w:lineRule="auto"/>
        <w:jc w:val="center"/>
        <w:rPr>
          <w:rFonts w:ascii="Arial" w:hAnsi="Arial" w:cs="Arial"/>
          <w:i/>
        </w:rPr>
      </w:pPr>
      <w:r>
        <w:rPr>
          <w:rFonts w:ascii="Arial" w:hAnsi="Arial"/>
          <w:i/>
        </w:rPr>
        <w:t>Fin</w:t>
      </w:r>
    </w:p>
    <w:p w14:paraId="4D6A4896" w14:textId="77777777" w:rsidR="00182F8A" w:rsidRDefault="00182F8A" w:rsidP="00F8683B">
      <w:pPr>
        <w:autoSpaceDE w:val="0"/>
        <w:autoSpaceDN w:val="0"/>
        <w:adjustRightInd w:val="0"/>
        <w:spacing w:after="0" w:line="240" w:lineRule="auto"/>
        <w:jc w:val="both"/>
        <w:rPr>
          <w:rFonts w:ascii="Arial" w:hAnsi="Arial" w:cs="Arial"/>
          <w:b/>
          <w:iCs/>
          <w:color w:val="000000"/>
        </w:rPr>
      </w:pPr>
    </w:p>
    <w:p w14:paraId="1B3D0356" w14:textId="77777777" w:rsidR="00F8683B" w:rsidRPr="00E44318" w:rsidRDefault="00F8683B" w:rsidP="00F8683B">
      <w:pPr>
        <w:autoSpaceDE w:val="0"/>
        <w:autoSpaceDN w:val="0"/>
        <w:adjustRightInd w:val="0"/>
        <w:spacing w:after="0" w:line="240" w:lineRule="auto"/>
        <w:jc w:val="both"/>
        <w:rPr>
          <w:rFonts w:ascii="Arial" w:hAnsi="Arial" w:cs="Arial"/>
          <w:b/>
          <w:iCs/>
          <w:color w:val="000000"/>
        </w:rPr>
      </w:pPr>
    </w:p>
    <w:p w14:paraId="016F8A1F" w14:textId="77777777" w:rsidR="00FF6F7F" w:rsidRPr="00E44318" w:rsidRDefault="00FF6F7F" w:rsidP="00F8683B">
      <w:pPr>
        <w:autoSpaceDE w:val="0"/>
        <w:autoSpaceDN w:val="0"/>
        <w:adjustRightInd w:val="0"/>
        <w:spacing w:after="0" w:line="240" w:lineRule="auto"/>
        <w:jc w:val="both"/>
        <w:rPr>
          <w:rFonts w:ascii="Arial" w:hAnsi="Arial" w:cs="Arial"/>
          <w:b/>
          <w:color w:val="000000"/>
        </w:rPr>
      </w:pPr>
      <w:r>
        <w:rPr>
          <w:rFonts w:ascii="Arial" w:hAnsi="Arial"/>
          <w:b/>
          <w:color w:val="000000"/>
        </w:rPr>
        <w:t xml:space="preserve">Acerca de ETS </w:t>
      </w:r>
    </w:p>
    <w:p w14:paraId="2F1282C2" w14:textId="77777777" w:rsidR="00507E35" w:rsidRPr="00E44318" w:rsidRDefault="00FF6F7F" w:rsidP="00F8683B">
      <w:pPr>
        <w:pStyle w:val="Default"/>
        <w:jc w:val="both"/>
        <w:rPr>
          <w:rFonts w:ascii="Arial" w:hAnsi="Arial" w:cs="Arial"/>
          <w:iCs/>
          <w:sz w:val="22"/>
          <w:szCs w:val="22"/>
        </w:rPr>
      </w:pPr>
      <w:r>
        <w:rPr>
          <w:rFonts w:ascii="Arial" w:hAnsi="Arial"/>
          <w:sz w:val="22"/>
        </w:rPr>
        <w:t xml:space="preserve">ETS es la asociación europea de fabricantes de productos de papel tisú. Los miembros de ETS representan a la mayoría de los productores de papel tisú de Europa y alrededor del 90% de la producción total europea. ETS se fundó en 1971 y tiene su sede en Bruselas. Para obtener más información, visite </w:t>
      </w:r>
      <w:hyperlink r:id="rId9">
        <w:r>
          <w:rPr>
            <w:rStyle w:val="Hyperlink"/>
            <w:rFonts w:ascii="Arial" w:hAnsi="Arial"/>
            <w:sz w:val="22"/>
          </w:rPr>
          <w:t>www.europeantissue.com</w:t>
        </w:r>
      </w:hyperlink>
      <w:r>
        <w:t>.</w:t>
      </w:r>
      <w:r>
        <w:rPr>
          <w:rFonts w:ascii="Arial" w:hAnsi="Arial"/>
          <w:sz w:val="22"/>
        </w:rPr>
        <w:t xml:space="preserve"> </w:t>
      </w:r>
    </w:p>
    <w:p w14:paraId="742F087E" w14:textId="77777777" w:rsidR="00B672F4" w:rsidRPr="00E44318" w:rsidRDefault="00B672F4" w:rsidP="00F8683B">
      <w:pPr>
        <w:pStyle w:val="Default"/>
        <w:jc w:val="both"/>
        <w:rPr>
          <w:rFonts w:ascii="Arial" w:hAnsi="Arial" w:cs="Arial"/>
          <w:sz w:val="22"/>
          <w:szCs w:val="22"/>
        </w:rPr>
      </w:pPr>
    </w:p>
    <w:p w14:paraId="4B65C212" w14:textId="77777777" w:rsidR="00507E35" w:rsidRPr="00E44318" w:rsidRDefault="00507E35" w:rsidP="00F8683B">
      <w:pPr>
        <w:pStyle w:val="Default"/>
        <w:jc w:val="both"/>
        <w:rPr>
          <w:rFonts w:ascii="Arial" w:hAnsi="Arial" w:cs="Arial"/>
          <w:b/>
          <w:bCs/>
          <w:sz w:val="22"/>
          <w:szCs w:val="22"/>
        </w:rPr>
      </w:pPr>
      <w:r>
        <w:rPr>
          <w:rFonts w:ascii="Arial" w:hAnsi="Arial"/>
          <w:b/>
          <w:sz w:val="22"/>
        </w:rPr>
        <w:t>Contactos para prensa:</w:t>
      </w:r>
    </w:p>
    <w:p w14:paraId="19D30B2D" w14:textId="77777777" w:rsidR="00507E35" w:rsidRPr="00F8683B" w:rsidRDefault="00507E35" w:rsidP="00F8683B">
      <w:pPr>
        <w:pStyle w:val="Default"/>
        <w:jc w:val="both"/>
        <w:rPr>
          <w:rFonts w:ascii="Arial" w:hAnsi="Arial" w:cs="Arial"/>
          <w:b/>
          <w:bCs/>
          <w:sz w:val="22"/>
          <w:szCs w:val="22"/>
          <w:lang w:val="nl-BE"/>
        </w:rPr>
      </w:pPr>
      <w:r w:rsidRPr="00F8683B">
        <w:rPr>
          <w:rFonts w:ascii="Arial" w:hAnsi="Arial"/>
          <w:b/>
          <w:sz w:val="22"/>
          <w:lang w:val="nl-BE"/>
        </w:rPr>
        <w:t xml:space="preserve">duomedia </w:t>
      </w:r>
    </w:p>
    <w:p w14:paraId="506080A2" w14:textId="6613C09F" w:rsidR="00507E35" w:rsidRPr="00F8683B" w:rsidRDefault="006B70B7" w:rsidP="00F8683B">
      <w:pPr>
        <w:pStyle w:val="Default"/>
        <w:jc w:val="both"/>
        <w:rPr>
          <w:rFonts w:ascii="Arial" w:hAnsi="Arial" w:cs="Arial"/>
          <w:sz w:val="22"/>
          <w:szCs w:val="22"/>
          <w:lang w:val="nl-BE"/>
        </w:rPr>
      </w:pPr>
      <w:r w:rsidRPr="00F8683B">
        <w:rPr>
          <w:rFonts w:ascii="Arial" w:hAnsi="Arial"/>
          <w:sz w:val="22"/>
          <w:lang w:val="nl-BE"/>
        </w:rPr>
        <w:t xml:space="preserve">Riet Delsin | Tel.: +32 2 560 21 50 | </w:t>
      </w:r>
      <w:hyperlink r:id="rId10">
        <w:r w:rsidRPr="00F8683B">
          <w:rPr>
            <w:rStyle w:val="Hyperlink"/>
            <w:rFonts w:ascii="Arial" w:hAnsi="Arial"/>
            <w:sz w:val="22"/>
            <w:lang w:val="nl-BE"/>
          </w:rPr>
          <w:t>riet.d@duomedia.com</w:t>
        </w:r>
      </w:hyperlink>
      <w:r w:rsidRPr="00F8683B">
        <w:rPr>
          <w:rFonts w:ascii="Arial" w:hAnsi="Arial"/>
          <w:sz w:val="22"/>
          <w:lang w:val="nl-BE"/>
        </w:rPr>
        <w:t xml:space="preserve"> </w:t>
      </w:r>
    </w:p>
    <w:p w14:paraId="2133A50A" w14:textId="77777777" w:rsidR="00507E35" w:rsidRPr="00F8683B" w:rsidRDefault="00507E35" w:rsidP="00F8683B">
      <w:pPr>
        <w:pStyle w:val="Default"/>
        <w:ind w:left="360"/>
        <w:jc w:val="both"/>
        <w:rPr>
          <w:rFonts w:ascii="Arial" w:hAnsi="Arial" w:cs="Arial"/>
          <w:sz w:val="22"/>
          <w:szCs w:val="22"/>
          <w:lang w:val="nl-BE"/>
        </w:rPr>
      </w:pPr>
    </w:p>
    <w:p w14:paraId="554F3079" w14:textId="77777777" w:rsidR="00507E35" w:rsidRPr="00F8683B" w:rsidRDefault="00507E35" w:rsidP="00F8683B">
      <w:pPr>
        <w:autoSpaceDE w:val="0"/>
        <w:autoSpaceDN w:val="0"/>
        <w:adjustRightInd w:val="0"/>
        <w:spacing w:after="0" w:line="240" w:lineRule="auto"/>
        <w:jc w:val="both"/>
        <w:rPr>
          <w:rFonts w:ascii="Arial" w:hAnsi="Arial" w:cs="Arial"/>
          <w:b/>
          <w:bCs/>
          <w:lang w:val="nl-BE"/>
        </w:rPr>
      </w:pPr>
      <w:r w:rsidRPr="00F8683B">
        <w:rPr>
          <w:rFonts w:ascii="Arial" w:hAnsi="Arial"/>
          <w:b/>
          <w:lang w:val="nl-BE"/>
        </w:rPr>
        <w:t xml:space="preserve">ETS </w:t>
      </w:r>
    </w:p>
    <w:p w14:paraId="0832819B" w14:textId="2ADF9034" w:rsidR="007907F9" w:rsidRPr="00A2043C" w:rsidRDefault="00C53000" w:rsidP="00F8683B">
      <w:pPr>
        <w:autoSpaceDE w:val="0"/>
        <w:autoSpaceDN w:val="0"/>
        <w:adjustRightInd w:val="0"/>
        <w:spacing w:after="0" w:line="240" w:lineRule="auto"/>
        <w:jc w:val="both"/>
        <w:rPr>
          <w:rFonts w:ascii="Arial" w:hAnsi="Arial" w:cs="Arial"/>
        </w:rPr>
      </w:pPr>
      <w:r>
        <w:rPr>
          <w:rFonts w:ascii="Arial" w:hAnsi="Arial"/>
        </w:rPr>
        <w:t>Fanis Papakostas</w:t>
      </w:r>
      <w:r>
        <w:rPr>
          <w:rFonts w:ascii="Arial" w:hAnsi="Arial"/>
          <w:b/>
        </w:rPr>
        <w:t xml:space="preserve"> </w:t>
      </w:r>
      <w:r>
        <w:rPr>
          <w:rFonts w:ascii="Arial" w:hAnsi="Arial"/>
        </w:rPr>
        <w:t xml:space="preserve">| </w:t>
      </w:r>
      <w:r>
        <w:rPr>
          <w:rFonts w:ascii="Arial" w:hAnsi="Arial"/>
          <w:color w:val="000000"/>
        </w:rPr>
        <w:t>Tel.: + 49 15 20 27 79 147</w:t>
      </w:r>
      <w:r>
        <w:rPr>
          <w:rFonts w:ascii="Arial" w:hAnsi="Arial"/>
        </w:rPr>
        <w:t xml:space="preserve">| </w:t>
      </w:r>
      <w:hyperlink r:id="rId11">
        <w:r>
          <w:rPr>
            <w:rStyle w:val="Hyperlink"/>
            <w:rFonts w:ascii="Arial" w:hAnsi="Arial"/>
          </w:rPr>
          <w:t>fanis.papakostas2@gmail.com</w:t>
        </w:r>
      </w:hyperlink>
    </w:p>
    <w:sectPr w:rsidR="007907F9" w:rsidRPr="00A2043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E1436" w14:textId="77777777" w:rsidR="007364C6" w:rsidRDefault="007364C6" w:rsidP="001642D1">
      <w:pPr>
        <w:spacing w:after="0" w:line="240" w:lineRule="auto"/>
      </w:pPr>
      <w:r>
        <w:separator/>
      </w:r>
    </w:p>
  </w:endnote>
  <w:endnote w:type="continuationSeparator" w:id="0">
    <w:p w14:paraId="4144DC78" w14:textId="77777777" w:rsidR="007364C6" w:rsidRDefault="007364C6" w:rsidP="0016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665092"/>
      <w:docPartObj>
        <w:docPartGallery w:val="Page Numbers (Bottom of Page)"/>
        <w:docPartUnique/>
      </w:docPartObj>
    </w:sdtPr>
    <w:sdtEndPr>
      <w:rPr>
        <w:noProof/>
      </w:rPr>
    </w:sdtEndPr>
    <w:sdtContent>
      <w:p w14:paraId="7A48C141" w14:textId="77777777" w:rsidR="004446F3" w:rsidRDefault="004446F3">
        <w:pPr>
          <w:pStyle w:val="Footer"/>
          <w:jc w:val="center"/>
        </w:pPr>
        <w:r>
          <w:fldChar w:fldCharType="begin"/>
        </w:r>
        <w:r>
          <w:instrText xml:space="preserve"> PAGE   \* MERGEFORMAT </w:instrText>
        </w:r>
        <w:r>
          <w:fldChar w:fldCharType="separate"/>
        </w:r>
        <w:r w:rsidR="00F8683B">
          <w:rPr>
            <w:noProof/>
          </w:rPr>
          <w:t>1</w:t>
        </w:r>
        <w:r>
          <w:rPr>
            <w:noProof/>
          </w:rPr>
          <w:fldChar w:fldCharType="end"/>
        </w:r>
      </w:p>
    </w:sdtContent>
  </w:sdt>
  <w:p w14:paraId="542ACF20" w14:textId="77777777" w:rsidR="004446F3" w:rsidRDefault="00BA70DD">
    <w:pPr>
      <w:pStyle w:val="Footer"/>
    </w:pPr>
    <w:r>
      <w:rPr>
        <w:noProof/>
        <w:lang w:val="it-IT" w:eastAsia="it-IT" w:bidi="ar-SA"/>
      </w:rPr>
      <mc:AlternateContent>
        <mc:Choice Requires="wps">
          <w:drawing>
            <wp:anchor distT="0" distB="0" distL="114300" distR="114300" simplePos="0" relativeHeight="251660288" behindDoc="0" locked="0" layoutInCell="1" allowOverlap="1" wp14:anchorId="75181674" wp14:editId="38226178">
              <wp:simplePos x="0" y="0"/>
              <wp:positionH relativeFrom="page">
                <wp:posOffset>0</wp:posOffset>
              </wp:positionH>
              <wp:positionV relativeFrom="page">
                <wp:posOffset>10534015</wp:posOffset>
              </wp:positionV>
              <wp:extent cx="7560310" cy="157758"/>
              <wp:effectExtent l="0" t="0" r="0" b="13970"/>
              <wp:wrapNone/>
              <wp:docPr id="2" name="TextContentMarkingprimary"/>
              <wp:cNvGraphicFramePr/>
              <a:graphic xmlns:a="http://schemas.openxmlformats.org/drawingml/2006/main">
                <a:graphicData uri="http://schemas.microsoft.com/office/word/2010/wordprocessingShape">
                  <wps:wsp>
                    <wps:cNvSpPr txBox="1"/>
                    <wps:spPr>
                      <a:xfrm flipV="1">
                        <a:off x="0" y="0"/>
                        <a:ext cx="7560310" cy="15775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01FFDA" w14:textId="77777777" w:rsidR="00BA70DD" w:rsidRPr="008E4B57" w:rsidRDefault="008E4B57" w:rsidP="008E4B57">
                          <w:pPr>
                            <w:jc w:val="right"/>
                            <w:rPr>
                              <w:rFonts w:ascii="Arial" w:hAnsi="Arial" w:cs="Arial"/>
                              <w:color w:val="999999"/>
                              <w:sz w:val="20"/>
                            </w:rPr>
                          </w:pPr>
                          <w:r>
                            <w:rPr>
                              <w:rFonts w:ascii="Arial" w:hAnsi="Arial"/>
                              <w:color w:val="999999"/>
                              <w:sz w:val="20"/>
                            </w:rPr>
                            <w:t>Público</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xmlns:o="urn:schemas-microsoft-com:office:office" xmlns:w14="http://schemas.microsoft.com/office/word/2010/wordml" xmlns:v="urn:schemas-microsoft-com:vml" w14:anchorId="75181674" id="_x0000_t202" coordsize="21600,21600" o:spt="202" path="m,l,21600r21600,l21600,xe">
              <v:stroke joinstyle="miter"/>
              <v:path gradientshapeok="t" o:connecttype="rect"/>
            </v:shapetype>
            <v:shape xmlns:o="urn:schemas-microsoft-com:office:office" xmlns:v="urn:schemas-microsoft-com:vml" id="TextContentMarkingprimary" o:spid="_x0000_s1026" type="#_x0000_t202" style="position:absolute;margin-left:0;margin-top:829.45pt;width:595.3pt;height:12.4pt;flip:y;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" filled="f" stroked="f" strokeweight=".5pt">
              <v:textbox inset=",0,,0">
                <w:txbxContent>
                  <w:p xmlns:w14="http://schemas.microsoft.com/office/word/2010/wordml" w14:paraId="1A01FFDA" w14:textId="77777777" w:rsidR="00BA70DD" w:rsidRPr="008E4B57" w:rsidRDefault="008E4B57" w:rsidP="008E4B57">
                    <w:pPr>
                      <w:jc w:val="right"/>
                      <w:rPr>
                        <w:rFonts w:ascii="Arial" w:hAnsi="Arial" w:cs="Arial"/>
                        <w:color w:val="999999"/>
                        <w:sz w:val="20"/>
                      </w:rPr>
                    </w:pPr>
                    <w:r>
                      <w:rPr>
                        <w:rFonts w:ascii="Arial" w:hAnsi="Arial"/>
                        <w:color w:val="999999"/>
                        <w:sz w:val="20"/>
                      </w:rPr>
                      <w:t>Público</w:t>
                    </w:r>
                  </w:p>
                </w:txbxContent>
              </v:textbox>
              <w10:wrap xmlns:w10="urn:schemas-microsoft-com:office:word"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D3C04" w14:textId="77777777" w:rsidR="007364C6" w:rsidRDefault="007364C6" w:rsidP="001642D1">
      <w:pPr>
        <w:spacing w:after="0" w:line="240" w:lineRule="auto"/>
      </w:pPr>
      <w:r>
        <w:separator/>
      </w:r>
    </w:p>
  </w:footnote>
  <w:footnote w:type="continuationSeparator" w:id="0">
    <w:p w14:paraId="4E1260CA" w14:textId="77777777" w:rsidR="007364C6" w:rsidRDefault="007364C6" w:rsidP="00164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78CDC" w14:textId="77777777" w:rsidR="00437B6B" w:rsidRDefault="00437B6B">
    <w:pPr>
      <w:pStyle w:val="Header"/>
    </w:pPr>
    <w:r>
      <w:rPr>
        <w:rFonts w:ascii="Arial" w:hAnsi="Arial" w:cs="Arial"/>
        <w:i/>
        <w:noProof/>
        <w:sz w:val="24"/>
        <w:szCs w:val="24"/>
        <w:lang w:val="it-IT" w:eastAsia="it-IT" w:bidi="ar-SA"/>
      </w:rPr>
      <w:drawing>
        <wp:anchor distT="0" distB="0" distL="114300" distR="114300" simplePos="0" relativeHeight="251659264" behindDoc="0" locked="0" layoutInCell="1" allowOverlap="1" wp14:anchorId="07FF53F2" wp14:editId="11C059AD">
          <wp:simplePos x="0" y="0"/>
          <wp:positionH relativeFrom="margin">
            <wp:align>right</wp:align>
          </wp:positionH>
          <wp:positionV relativeFrom="paragraph">
            <wp:posOffset>-305435</wp:posOffset>
          </wp:positionV>
          <wp:extent cx="947420" cy="947420"/>
          <wp:effectExtent l="0" t="0" r="5080" b="5080"/>
          <wp:wrapTopAndBottom/>
          <wp:docPr id="1" name="Picture 0" descr="060809_ets_logo_09080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0809_ets_logo_090806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5EDB"/>
    <w:multiLevelType w:val="hybridMultilevel"/>
    <w:tmpl w:val="852C7ABA"/>
    <w:lvl w:ilvl="0" w:tplc="CEF65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71FA4"/>
    <w:multiLevelType w:val="hybridMultilevel"/>
    <w:tmpl w:val="43AED184"/>
    <w:lvl w:ilvl="0" w:tplc="CEF65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B3E53"/>
    <w:multiLevelType w:val="hybridMultilevel"/>
    <w:tmpl w:val="7B42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B0CAF"/>
    <w:multiLevelType w:val="hybridMultilevel"/>
    <w:tmpl w:val="791475A2"/>
    <w:lvl w:ilvl="0" w:tplc="5C7A45F0">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9752CB7"/>
    <w:multiLevelType w:val="hybridMultilevel"/>
    <w:tmpl w:val="090A1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E361A"/>
    <w:multiLevelType w:val="hybridMultilevel"/>
    <w:tmpl w:val="DC32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5A5C39"/>
    <w:multiLevelType w:val="hybridMultilevel"/>
    <w:tmpl w:val="BEB0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672B4F"/>
    <w:multiLevelType w:val="hybridMultilevel"/>
    <w:tmpl w:val="3B12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40C47"/>
    <w:multiLevelType w:val="hybridMultilevel"/>
    <w:tmpl w:val="0170977E"/>
    <w:lvl w:ilvl="0" w:tplc="C41C15F6">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513AD"/>
    <w:multiLevelType w:val="hybridMultilevel"/>
    <w:tmpl w:val="3ED0FFA2"/>
    <w:lvl w:ilvl="0" w:tplc="8646D156">
      <w:start w:val="1"/>
      <w:numFmt w:val="decimal"/>
      <w:lvlText w:val="%1."/>
      <w:lvlJc w:val="left"/>
      <w:pPr>
        <w:ind w:left="360" w:hanging="360"/>
      </w:pPr>
      <w:rPr>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7807706C"/>
    <w:multiLevelType w:val="hybridMultilevel"/>
    <w:tmpl w:val="B0E02320"/>
    <w:lvl w:ilvl="0" w:tplc="54DE5D2A">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0"/>
  </w:num>
  <w:num w:numId="5">
    <w:abstractNumId w:val="5"/>
  </w:num>
  <w:num w:numId="6">
    <w:abstractNumId w:val="7"/>
  </w:num>
  <w:num w:numId="7">
    <w:abstractNumId w:val="4"/>
  </w:num>
  <w:num w:numId="8">
    <w:abstractNumId w:val="6"/>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0" w:nlCheck="1" w:checkStyle="0"/>
  <w:activeWritingStyle w:appName="MSWord" w:lang="en-GB" w:vendorID="64" w:dllVersion="0" w:nlCheck="1" w:checkStyle="1"/>
  <w:activeWritingStyle w:appName="MSWord" w:lang="en-US" w:vendorID="64" w:dllVersion="0"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10"/>
    <w:rsid w:val="0000287F"/>
    <w:rsid w:val="0003731E"/>
    <w:rsid w:val="00043967"/>
    <w:rsid w:val="00050DCC"/>
    <w:rsid w:val="00052810"/>
    <w:rsid w:val="00054374"/>
    <w:rsid w:val="00077C8A"/>
    <w:rsid w:val="000933D0"/>
    <w:rsid w:val="000D3C4F"/>
    <w:rsid w:val="000D4C1B"/>
    <w:rsid w:val="000F0D05"/>
    <w:rsid w:val="000F3F0E"/>
    <w:rsid w:val="0011362F"/>
    <w:rsid w:val="0012145E"/>
    <w:rsid w:val="00131E3F"/>
    <w:rsid w:val="0013307E"/>
    <w:rsid w:val="00136FAE"/>
    <w:rsid w:val="0014763E"/>
    <w:rsid w:val="00151DB9"/>
    <w:rsid w:val="001642D1"/>
    <w:rsid w:val="001803DD"/>
    <w:rsid w:val="00182F8A"/>
    <w:rsid w:val="00183307"/>
    <w:rsid w:val="00184468"/>
    <w:rsid w:val="001B2062"/>
    <w:rsid w:val="001B4B3A"/>
    <w:rsid w:val="001C6C1C"/>
    <w:rsid w:val="001D4A93"/>
    <w:rsid w:val="00202D7C"/>
    <w:rsid w:val="00203A23"/>
    <w:rsid w:val="002056FA"/>
    <w:rsid w:val="00252167"/>
    <w:rsid w:val="002715FC"/>
    <w:rsid w:val="00271A1A"/>
    <w:rsid w:val="002753CF"/>
    <w:rsid w:val="00282835"/>
    <w:rsid w:val="002B6260"/>
    <w:rsid w:val="002D14CA"/>
    <w:rsid w:val="002D1BF3"/>
    <w:rsid w:val="002D3161"/>
    <w:rsid w:val="002E56A9"/>
    <w:rsid w:val="002F7158"/>
    <w:rsid w:val="003119F1"/>
    <w:rsid w:val="00314C17"/>
    <w:rsid w:val="00343147"/>
    <w:rsid w:val="00346E0A"/>
    <w:rsid w:val="0035554C"/>
    <w:rsid w:val="00356304"/>
    <w:rsid w:val="003663D4"/>
    <w:rsid w:val="003A7A61"/>
    <w:rsid w:val="003A7D84"/>
    <w:rsid w:val="003C065E"/>
    <w:rsid w:val="003D39DF"/>
    <w:rsid w:val="003D5492"/>
    <w:rsid w:val="003E6568"/>
    <w:rsid w:val="003F0AB0"/>
    <w:rsid w:val="003F6DB4"/>
    <w:rsid w:val="004329FA"/>
    <w:rsid w:val="00436D65"/>
    <w:rsid w:val="0043786F"/>
    <w:rsid w:val="00437B6B"/>
    <w:rsid w:val="004446F3"/>
    <w:rsid w:val="004451D4"/>
    <w:rsid w:val="00454A1D"/>
    <w:rsid w:val="004646C1"/>
    <w:rsid w:val="0047432E"/>
    <w:rsid w:val="0048052C"/>
    <w:rsid w:val="00483D8E"/>
    <w:rsid w:val="00484CDC"/>
    <w:rsid w:val="004870F8"/>
    <w:rsid w:val="00490DA1"/>
    <w:rsid w:val="0049742C"/>
    <w:rsid w:val="004A1C9E"/>
    <w:rsid w:val="004A5DD3"/>
    <w:rsid w:val="004B08F4"/>
    <w:rsid w:val="004C2290"/>
    <w:rsid w:val="004C684C"/>
    <w:rsid w:val="00500870"/>
    <w:rsid w:val="00501AD7"/>
    <w:rsid w:val="005039F7"/>
    <w:rsid w:val="00507E35"/>
    <w:rsid w:val="00512582"/>
    <w:rsid w:val="0054367E"/>
    <w:rsid w:val="00545A53"/>
    <w:rsid w:val="005551C2"/>
    <w:rsid w:val="0055553A"/>
    <w:rsid w:val="00575E02"/>
    <w:rsid w:val="005760D7"/>
    <w:rsid w:val="00595ADD"/>
    <w:rsid w:val="005A770C"/>
    <w:rsid w:val="005B13F7"/>
    <w:rsid w:val="005B241F"/>
    <w:rsid w:val="005E47F5"/>
    <w:rsid w:val="005E760C"/>
    <w:rsid w:val="005F5A5D"/>
    <w:rsid w:val="0060384B"/>
    <w:rsid w:val="006747FD"/>
    <w:rsid w:val="00677C24"/>
    <w:rsid w:val="006814DA"/>
    <w:rsid w:val="00692CEB"/>
    <w:rsid w:val="00693BC8"/>
    <w:rsid w:val="006A17D7"/>
    <w:rsid w:val="006B5275"/>
    <w:rsid w:val="006B70B7"/>
    <w:rsid w:val="006C0C23"/>
    <w:rsid w:val="006C10E1"/>
    <w:rsid w:val="006D5AB2"/>
    <w:rsid w:val="006E06DF"/>
    <w:rsid w:val="006E2537"/>
    <w:rsid w:val="006F20AA"/>
    <w:rsid w:val="007046CC"/>
    <w:rsid w:val="00704EA2"/>
    <w:rsid w:val="00712907"/>
    <w:rsid w:val="00715F87"/>
    <w:rsid w:val="00725758"/>
    <w:rsid w:val="00726E61"/>
    <w:rsid w:val="007364C6"/>
    <w:rsid w:val="00747C1C"/>
    <w:rsid w:val="007509E0"/>
    <w:rsid w:val="00752797"/>
    <w:rsid w:val="00754D3E"/>
    <w:rsid w:val="00756791"/>
    <w:rsid w:val="00762378"/>
    <w:rsid w:val="0076356F"/>
    <w:rsid w:val="00764981"/>
    <w:rsid w:val="0078618E"/>
    <w:rsid w:val="00787C6B"/>
    <w:rsid w:val="007907F9"/>
    <w:rsid w:val="00791470"/>
    <w:rsid w:val="007916C5"/>
    <w:rsid w:val="007B147F"/>
    <w:rsid w:val="007E2C09"/>
    <w:rsid w:val="007F0928"/>
    <w:rsid w:val="0080041D"/>
    <w:rsid w:val="008113FC"/>
    <w:rsid w:val="00811EBC"/>
    <w:rsid w:val="00822C16"/>
    <w:rsid w:val="008315E3"/>
    <w:rsid w:val="008420A3"/>
    <w:rsid w:val="0084754A"/>
    <w:rsid w:val="00850B48"/>
    <w:rsid w:val="00883926"/>
    <w:rsid w:val="008A66F0"/>
    <w:rsid w:val="008B0FA9"/>
    <w:rsid w:val="008D0510"/>
    <w:rsid w:val="008D5D7D"/>
    <w:rsid w:val="008E1600"/>
    <w:rsid w:val="008E4B57"/>
    <w:rsid w:val="008E67F1"/>
    <w:rsid w:val="00901093"/>
    <w:rsid w:val="00927972"/>
    <w:rsid w:val="00937F88"/>
    <w:rsid w:val="00943502"/>
    <w:rsid w:val="00954F47"/>
    <w:rsid w:val="00955123"/>
    <w:rsid w:val="0095617F"/>
    <w:rsid w:val="009800F3"/>
    <w:rsid w:val="00981150"/>
    <w:rsid w:val="009843E7"/>
    <w:rsid w:val="00993FF6"/>
    <w:rsid w:val="00995266"/>
    <w:rsid w:val="009B3529"/>
    <w:rsid w:val="009B3D49"/>
    <w:rsid w:val="009B58E2"/>
    <w:rsid w:val="009C109F"/>
    <w:rsid w:val="009D5366"/>
    <w:rsid w:val="009E0031"/>
    <w:rsid w:val="009E2EE1"/>
    <w:rsid w:val="009E43DA"/>
    <w:rsid w:val="009E749A"/>
    <w:rsid w:val="009F501C"/>
    <w:rsid w:val="009F56E0"/>
    <w:rsid w:val="00A03FB4"/>
    <w:rsid w:val="00A139F2"/>
    <w:rsid w:val="00A15EF8"/>
    <w:rsid w:val="00A2043C"/>
    <w:rsid w:val="00A266CA"/>
    <w:rsid w:val="00A31FB8"/>
    <w:rsid w:val="00A3383F"/>
    <w:rsid w:val="00A4587C"/>
    <w:rsid w:val="00A47274"/>
    <w:rsid w:val="00A4772F"/>
    <w:rsid w:val="00A56EEA"/>
    <w:rsid w:val="00A70C02"/>
    <w:rsid w:val="00A75BCF"/>
    <w:rsid w:val="00A77F4C"/>
    <w:rsid w:val="00A87C3C"/>
    <w:rsid w:val="00A95BDF"/>
    <w:rsid w:val="00AA0F75"/>
    <w:rsid w:val="00AA5EC0"/>
    <w:rsid w:val="00AD07F3"/>
    <w:rsid w:val="00AD71FE"/>
    <w:rsid w:val="00AE06BE"/>
    <w:rsid w:val="00AE57FC"/>
    <w:rsid w:val="00B0262F"/>
    <w:rsid w:val="00B06179"/>
    <w:rsid w:val="00B1278A"/>
    <w:rsid w:val="00B1432A"/>
    <w:rsid w:val="00B20589"/>
    <w:rsid w:val="00B20E5B"/>
    <w:rsid w:val="00B217FE"/>
    <w:rsid w:val="00B51D17"/>
    <w:rsid w:val="00B63B91"/>
    <w:rsid w:val="00B66B9E"/>
    <w:rsid w:val="00B672F4"/>
    <w:rsid w:val="00B74F5A"/>
    <w:rsid w:val="00B76482"/>
    <w:rsid w:val="00B76EF7"/>
    <w:rsid w:val="00B84C02"/>
    <w:rsid w:val="00B97519"/>
    <w:rsid w:val="00BA5E3B"/>
    <w:rsid w:val="00BA70DD"/>
    <w:rsid w:val="00BB3A1B"/>
    <w:rsid w:val="00BC3F3C"/>
    <w:rsid w:val="00BD2701"/>
    <w:rsid w:val="00BD7B5C"/>
    <w:rsid w:val="00BE0D83"/>
    <w:rsid w:val="00BE3F0A"/>
    <w:rsid w:val="00BF09CB"/>
    <w:rsid w:val="00BF6E63"/>
    <w:rsid w:val="00C21C43"/>
    <w:rsid w:val="00C31DFE"/>
    <w:rsid w:val="00C53000"/>
    <w:rsid w:val="00C56373"/>
    <w:rsid w:val="00C576EA"/>
    <w:rsid w:val="00C64E03"/>
    <w:rsid w:val="00C808F7"/>
    <w:rsid w:val="00C93D58"/>
    <w:rsid w:val="00CB4AA3"/>
    <w:rsid w:val="00CD10A3"/>
    <w:rsid w:val="00CE11F7"/>
    <w:rsid w:val="00CE3A9F"/>
    <w:rsid w:val="00CF0C13"/>
    <w:rsid w:val="00CF110C"/>
    <w:rsid w:val="00CF69D8"/>
    <w:rsid w:val="00D0279F"/>
    <w:rsid w:val="00D138C4"/>
    <w:rsid w:val="00D20F59"/>
    <w:rsid w:val="00D2507D"/>
    <w:rsid w:val="00D26CC5"/>
    <w:rsid w:val="00D30D20"/>
    <w:rsid w:val="00D33035"/>
    <w:rsid w:val="00D343B0"/>
    <w:rsid w:val="00D4504C"/>
    <w:rsid w:val="00D5071C"/>
    <w:rsid w:val="00D538B1"/>
    <w:rsid w:val="00D55ED1"/>
    <w:rsid w:val="00D604F6"/>
    <w:rsid w:val="00D81953"/>
    <w:rsid w:val="00D82B65"/>
    <w:rsid w:val="00DC47A2"/>
    <w:rsid w:val="00DC6FF7"/>
    <w:rsid w:val="00DD7A9B"/>
    <w:rsid w:val="00DE3FD9"/>
    <w:rsid w:val="00DF408F"/>
    <w:rsid w:val="00DF75A4"/>
    <w:rsid w:val="00E03DF8"/>
    <w:rsid w:val="00E07FBE"/>
    <w:rsid w:val="00E14A8A"/>
    <w:rsid w:val="00E24DFF"/>
    <w:rsid w:val="00E44318"/>
    <w:rsid w:val="00E732E1"/>
    <w:rsid w:val="00E84597"/>
    <w:rsid w:val="00E85D1B"/>
    <w:rsid w:val="00E86098"/>
    <w:rsid w:val="00E93F65"/>
    <w:rsid w:val="00E962CB"/>
    <w:rsid w:val="00EB524A"/>
    <w:rsid w:val="00EC50BF"/>
    <w:rsid w:val="00EC53AC"/>
    <w:rsid w:val="00ED1605"/>
    <w:rsid w:val="00ED208C"/>
    <w:rsid w:val="00ED541D"/>
    <w:rsid w:val="00EE1FC2"/>
    <w:rsid w:val="00EE5AF2"/>
    <w:rsid w:val="00EF1DCA"/>
    <w:rsid w:val="00F61381"/>
    <w:rsid w:val="00F615A4"/>
    <w:rsid w:val="00F66833"/>
    <w:rsid w:val="00F8683B"/>
    <w:rsid w:val="00F90A8C"/>
    <w:rsid w:val="00F90B11"/>
    <w:rsid w:val="00F9246B"/>
    <w:rsid w:val="00F957F6"/>
    <w:rsid w:val="00FA4CB8"/>
    <w:rsid w:val="00FA5DDC"/>
    <w:rsid w:val="00FB5746"/>
    <w:rsid w:val="00FB6BBB"/>
    <w:rsid w:val="00FD3B40"/>
    <w:rsid w:val="00FD6FE8"/>
    <w:rsid w:val="00FE1340"/>
    <w:rsid w:val="00FE4785"/>
    <w:rsid w:val="00FF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FF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642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2D1"/>
    <w:rPr>
      <w:sz w:val="20"/>
      <w:szCs w:val="20"/>
    </w:rPr>
  </w:style>
  <w:style w:type="character" w:styleId="EndnoteReference">
    <w:name w:val="endnote reference"/>
    <w:basedOn w:val="DefaultParagraphFont"/>
    <w:uiPriority w:val="99"/>
    <w:semiHidden/>
    <w:unhideWhenUsed/>
    <w:rsid w:val="001642D1"/>
    <w:rPr>
      <w:vertAlign w:val="superscript"/>
    </w:rPr>
  </w:style>
  <w:style w:type="paragraph" w:styleId="ListParagraph">
    <w:name w:val="List Paragraph"/>
    <w:basedOn w:val="Normal"/>
    <w:uiPriority w:val="34"/>
    <w:qFormat/>
    <w:rsid w:val="00FF6F7F"/>
    <w:pPr>
      <w:ind w:left="720"/>
      <w:contextualSpacing/>
    </w:pPr>
  </w:style>
  <w:style w:type="paragraph" w:customStyle="1" w:styleId="Default">
    <w:name w:val="Default"/>
    <w:rsid w:val="00FF6F7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44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6F3"/>
  </w:style>
  <w:style w:type="paragraph" w:styleId="Footer">
    <w:name w:val="footer"/>
    <w:basedOn w:val="Normal"/>
    <w:link w:val="FooterChar"/>
    <w:uiPriority w:val="99"/>
    <w:unhideWhenUsed/>
    <w:rsid w:val="00444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6F3"/>
  </w:style>
  <w:style w:type="paragraph" w:styleId="BalloonText">
    <w:name w:val="Balloon Text"/>
    <w:basedOn w:val="Normal"/>
    <w:link w:val="BalloonTextChar"/>
    <w:uiPriority w:val="99"/>
    <w:semiHidden/>
    <w:unhideWhenUsed/>
    <w:rsid w:val="004B0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8F4"/>
    <w:rPr>
      <w:rFonts w:ascii="Segoe UI" w:hAnsi="Segoe UI" w:cs="Segoe UI"/>
      <w:sz w:val="18"/>
      <w:szCs w:val="18"/>
    </w:rPr>
  </w:style>
  <w:style w:type="character" w:styleId="CommentReference">
    <w:name w:val="annotation reference"/>
    <w:basedOn w:val="DefaultParagraphFont"/>
    <w:uiPriority w:val="99"/>
    <w:semiHidden/>
    <w:unhideWhenUsed/>
    <w:rsid w:val="00BF6E63"/>
    <w:rPr>
      <w:sz w:val="16"/>
      <w:szCs w:val="16"/>
    </w:rPr>
  </w:style>
  <w:style w:type="paragraph" w:styleId="CommentText">
    <w:name w:val="annotation text"/>
    <w:basedOn w:val="Normal"/>
    <w:link w:val="CommentTextChar"/>
    <w:uiPriority w:val="99"/>
    <w:semiHidden/>
    <w:unhideWhenUsed/>
    <w:rsid w:val="00BF6E63"/>
    <w:pPr>
      <w:spacing w:line="240" w:lineRule="auto"/>
    </w:pPr>
    <w:rPr>
      <w:sz w:val="20"/>
      <w:szCs w:val="20"/>
    </w:rPr>
  </w:style>
  <w:style w:type="character" w:customStyle="1" w:styleId="CommentTextChar">
    <w:name w:val="Comment Text Char"/>
    <w:basedOn w:val="DefaultParagraphFont"/>
    <w:link w:val="CommentText"/>
    <w:uiPriority w:val="99"/>
    <w:semiHidden/>
    <w:rsid w:val="00BF6E63"/>
    <w:rPr>
      <w:sz w:val="20"/>
      <w:szCs w:val="20"/>
    </w:rPr>
  </w:style>
  <w:style w:type="paragraph" w:styleId="CommentSubject">
    <w:name w:val="annotation subject"/>
    <w:basedOn w:val="CommentText"/>
    <w:next w:val="CommentText"/>
    <w:link w:val="CommentSubjectChar"/>
    <w:uiPriority w:val="99"/>
    <w:semiHidden/>
    <w:unhideWhenUsed/>
    <w:rsid w:val="00BF6E63"/>
    <w:rPr>
      <w:b/>
      <w:bCs/>
    </w:rPr>
  </w:style>
  <w:style w:type="character" w:customStyle="1" w:styleId="CommentSubjectChar">
    <w:name w:val="Comment Subject Char"/>
    <w:basedOn w:val="CommentTextChar"/>
    <w:link w:val="CommentSubject"/>
    <w:uiPriority w:val="99"/>
    <w:semiHidden/>
    <w:rsid w:val="00BF6E63"/>
    <w:rPr>
      <w:b/>
      <w:bCs/>
      <w:sz w:val="20"/>
      <w:szCs w:val="20"/>
    </w:rPr>
  </w:style>
  <w:style w:type="character" w:styleId="Hyperlink">
    <w:name w:val="Hyperlink"/>
    <w:basedOn w:val="DefaultParagraphFont"/>
    <w:uiPriority w:val="99"/>
    <w:unhideWhenUsed/>
    <w:rsid w:val="004646C1"/>
    <w:rPr>
      <w:color w:val="0000FF" w:themeColor="hyperlink"/>
      <w:u w:val="single"/>
    </w:rPr>
  </w:style>
  <w:style w:type="paragraph" w:styleId="FootnoteText">
    <w:name w:val="footnote text"/>
    <w:basedOn w:val="Normal"/>
    <w:link w:val="FootnoteTextChar"/>
    <w:uiPriority w:val="99"/>
    <w:unhideWhenUsed/>
    <w:rsid w:val="004646C1"/>
    <w:pPr>
      <w:spacing w:after="0" w:line="240" w:lineRule="auto"/>
    </w:pPr>
    <w:rPr>
      <w:sz w:val="20"/>
      <w:szCs w:val="20"/>
    </w:rPr>
  </w:style>
  <w:style w:type="character" w:customStyle="1" w:styleId="FootnoteTextChar">
    <w:name w:val="Footnote Text Char"/>
    <w:basedOn w:val="DefaultParagraphFont"/>
    <w:link w:val="FootnoteText"/>
    <w:uiPriority w:val="99"/>
    <w:rsid w:val="004646C1"/>
    <w:rPr>
      <w:sz w:val="20"/>
      <w:szCs w:val="20"/>
    </w:rPr>
  </w:style>
  <w:style w:type="character" w:styleId="FootnoteReference">
    <w:name w:val="footnote reference"/>
    <w:basedOn w:val="DefaultParagraphFont"/>
    <w:uiPriority w:val="99"/>
    <w:semiHidden/>
    <w:unhideWhenUsed/>
    <w:rsid w:val="004646C1"/>
    <w:rPr>
      <w:vertAlign w:val="superscript"/>
    </w:rPr>
  </w:style>
  <w:style w:type="paragraph" w:styleId="NormalWeb">
    <w:name w:val="Normal (Web)"/>
    <w:basedOn w:val="Normal"/>
    <w:uiPriority w:val="99"/>
    <w:semiHidden/>
    <w:unhideWhenUsed/>
    <w:rsid w:val="00C21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3A1B"/>
  </w:style>
  <w:style w:type="character" w:styleId="FollowedHyperlink">
    <w:name w:val="FollowedHyperlink"/>
    <w:basedOn w:val="DefaultParagraphFont"/>
    <w:uiPriority w:val="99"/>
    <w:semiHidden/>
    <w:unhideWhenUsed/>
    <w:rsid w:val="00D53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6370">
      <w:bodyDiv w:val="1"/>
      <w:marLeft w:val="0"/>
      <w:marRight w:val="0"/>
      <w:marTop w:val="0"/>
      <w:marBottom w:val="0"/>
      <w:divBdr>
        <w:top w:val="none" w:sz="0" w:space="0" w:color="auto"/>
        <w:left w:val="none" w:sz="0" w:space="0" w:color="auto"/>
        <w:bottom w:val="none" w:sz="0" w:space="0" w:color="auto"/>
        <w:right w:val="none" w:sz="0" w:space="0" w:color="auto"/>
      </w:divBdr>
    </w:div>
    <w:div w:id="604580899">
      <w:bodyDiv w:val="1"/>
      <w:marLeft w:val="0"/>
      <w:marRight w:val="0"/>
      <w:marTop w:val="0"/>
      <w:marBottom w:val="0"/>
      <w:divBdr>
        <w:top w:val="none" w:sz="0" w:space="0" w:color="auto"/>
        <w:left w:val="none" w:sz="0" w:space="0" w:color="auto"/>
        <w:bottom w:val="none" w:sz="0" w:space="0" w:color="auto"/>
        <w:right w:val="none" w:sz="0" w:space="0" w:color="auto"/>
      </w:divBdr>
    </w:div>
    <w:div w:id="610472730">
      <w:bodyDiv w:val="1"/>
      <w:marLeft w:val="0"/>
      <w:marRight w:val="0"/>
      <w:marTop w:val="0"/>
      <w:marBottom w:val="0"/>
      <w:divBdr>
        <w:top w:val="none" w:sz="0" w:space="0" w:color="auto"/>
        <w:left w:val="none" w:sz="0" w:space="0" w:color="auto"/>
        <w:bottom w:val="none" w:sz="0" w:space="0" w:color="auto"/>
        <w:right w:val="none" w:sz="0" w:space="0" w:color="auto"/>
      </w:divBdr>
    </w:div>
    <w:div w:id="669792490">
      <w:bodyDiv w:val="1"/>
      <w:marLeft w:val="0"/>
      <w:marRight w:val="0"/>
      <w:marTop w:val="0"/>
      <w:marBottom w:val="0"/>
      <w:divBdr>
        <w:top w:val="none" w:sz="0" w:space="0" w:color="auto"/>
        <w:left w:val="none" w:sz="0" w:space="0" w:color="auto"/>
        <w:bottom w:val="none" w:sz="0" w:space="0" w:color="auto"/>
        <w:right w:val="none" w:sz="0" w:space="0" w:color="auto"/>
      </w:divBdr>
    </w:div>
    <w:div w:id="746876616">
      <w:bodyDiv w:val="1"/>
      <w:marLeft w:val="0"/>
      <w:marRight w:val="0"/>
      <w:marTop w:val="0"/>
      <w:marBottom w:val="0"/>
      <w:divBdr>
        <w:top w:val="none" w:sz="0" w:space="0" w:color="auto"/>
        <w:left w:val="none" w:sz="0" w:space="0" w:color="auto"/>
        <w:bottom w:val="none" w:sz="0" w:space="0" w:color="auto"/>
        <w:right w:val="none" w:sz="0" w:space="0" w:color="auto"/>
      </w:divBdr>
      <w:divsChild>
        <w:div w:id="60756573">
          <w:marLeft w:val="0"/>
          <w:marRight w:val="0"/>
          <w:marTop w:val="0"/>
          <w:marBottom w:val="0"/>
          <w:divBdr>
            <w:top w:val="none" w:sz="0" w:space="0" w:color="auto"/>
            <w:left w:val="none" w:sz="0" w:space="0" w:color="auto"/>
            <w:bottom w:val="none" w:sz="0" w:space="0" w:color="auto"/>
            <w:right w:val="none" w:sz="0" w:space="0" w:color="auto"/>
          </w:divBdr>
        </w:div>
        <w:div w:id="375089420">
          <w:marLeft w:val="0"/>
          <w:marRight w:val="0"/>
          <w:marTop w:val="0"/>
          <w:marBottom w:val="0"/>
          <w:divBdr>
            <w:top w:val="none" w:sz="0" w:space="0" w:color="auto"/>
            <w:left w:val="none" w:sz="0" w:space="0" w:color="auto"/>
            <w:bottom w:val="none" w:sz="0" w:space="0" w:color="auto"/>
            <w:right w:val="none" w:sz="0" w:space="0" w:color="auto"/>
          </w:divBdr>
        </w:div>
        <w:div w:id="242881296">
          <w:marLeft w:val="0"/>
          <w:marRight w:val="0"/>
          <w:marTop w:val="0"/>
          <w:marBottom w:val="0"/>
          <w:divBdr>
            <w:top w:val="none" w:sz="0" w:space="0" w:color="auto"/>
            <w:left w:val="none" w:sz="0" w:space="0" w:color="auto"/>
            <w:bottom w:val="none" w:sz="0" w:space="0" w:color="auto"/>
            <w:right w:val="none" w:sz="0" w:space="0" w:color="auto"/>
          </w:divBdr>
        </w:div>
        <w:div w:id="1762067406">
          <w:marLeft w:val="0"/>
          <w:marRight w:val="0"/>
          <w:marTop w:val="0"/>
          <w:marBottom w:val="0"/>
          <w:divBdr>
            <w:top w:val="none" w:sz="0" w:space="0" w:color="auto"/>
            <w:left w:val="none" w:sz="0" w:space="0" w:color="auto"/>
            <w:bottom w:val="none" w:sz="0" w:space="0" w:color="auto"/>
            <w:right w:val="none" w:sz="0" w:space="0" w:color="auto"/>
          </w:divBdr>
        </w:div>
        <w:div w:id="1888447683">
          <w:marLeft w:val="0"/>
          <w:marRight w:val="0"/>
          <w:marTop w:val="0"/>
          <w:marBottom w:val="0"/>
          <w:divBdr>
            <w:top w:val="none" w:sz="0" w:space="0" w:color="auto"/>
            <w:left w:val="none" w:sz="0" w:space="0" w:color="auto"/>
            <w:bottom w:val="none" w:sz="0" w:space="0" w:color="auto"/>
            <w:right w:val="none" w:sz="0" w:space="0" w:color="auto"/>
          </w:divBdr>
        </w:div>
      </w:divsChild>
    </w:div>
    <w:div w:id="1136294121">
      <w:bodyDiv w:val="1"/>
      <w:marLeft w:val="0"/>
      <w:marRight w:val="0"/>
      <w:marTop w:val="0"/>
      <w:marBottom w:val="0"/>
      <w:divBdr>
        <w:top w:val="none" w:sz="0" w:space="0" w:color="auto"/>
        <w:left w:val="none" w:sz="0" w:space="0" w:color="auto"/>
        <w:bottom w:val="none" w:sz="0" w:space="0" w:color="auto"/>
        <w:right w:val="none" w:sz="0" w:space="0" w:color="auto"/>
      </w:divBdr>
    </w:div>
    <w:div w:id="1400329226">
      <w:bodyDiv w:val="1"/>
      <w:marLeft w:val="0"/>
      <w:marRight w:val="0"/>
      <w:marTop w:val="0"/>
      <w:marBottom w:val="0"/>
      <w:divBdr>
        <w:top w:val="none" w:sz="0" w:space="0" w:color="auto"/>
        <w:left w:val="none" w:sz="0" w:space="0" w:color="auto"/>
        <w:bottom w:val="none" w:sz="0" w:space="0" w:color="auto"/>
        <w:right w:val="none" w:sz="0" w:space="0" w:color="auto"/>
      </w:divBdr>
    </w:div>
    <w:div w:id="1435978902">
      <w:bodyDiv w:val="1"/>
      <w:marLeft w:val="0"/>
      <w:marRight w:val="0"/>
      <w:marTop w:val="0"/>
      <w:marBottom w:val="0"/>
      <w:divBdr>
        <w:top w:val="none" w:sz="0" w:space="0" w:color="auto"/>
        <w:left w:val="none" w:sz="0" w:space="0" w:color="auto"/>
        <w:bottom w:val="none" w:sz="0" w:space="0" w:color="auto"/>
        <w:right w:val="none" w:sz="0" w:space="0" w:color="auto"/>
      </w:divBdr>
    </w:div>
    <w:div w:id="16523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cmi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nis.papakostas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et.d@duomedia.com" TargetMode="External"/><Relationship Id="rId4" Type="http://schemas.openxmlformats.org/officeDocument/2006/relationships/settings" Target="settings.xml"/><Relationship Id="rId9" Type="http://schemas.openxmlformats.org/officeDocument/2006/relationships/hyperlink" Target="http://www.europeantissu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A3A57-4ACF-4659-A38D-6A6C70BB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3613</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Winter is coming: key tips to help ward off the flu</vt:lpstr>
    </vt:vector>
  </TitlesOfParts>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profesor Mark Wilcox presenta su último estudio en el ECCMID 2018</dc:title>
  <dc:creator/>
  <cp:keywords>ECCMID, European Tissue Symposium, ETS</cp:keywords>
  <cp:lastModifiedBy/>
  <cp:revision>1</cp:revision>
  <dcterms:created xsi:type="dcterms:W3CDTF">2018-04-09T13:36:00Z</dcterms:created>
  <dcterms:modified xsi:type="dcterms:W3CDTF">2018-04-27T11:02:00Z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d0f83994-0ff6-437e-8641-14a692c6c102">
    <vt:lpwstr>v=1.2&gt;I=d0f83994-0ff6-437e-8641-14a692c6c102&amp;N=Public&amp;V=1.2&amp;U=KCUS%5cn04831&amp;A=Associated&amp;H=False</vt:lpwstr>
  </property>
  <property fmtid="{D5CDD505-2E9C-101B-9397-08002B2CF9AE}" pid="3" name="Classification">
    <vt:lpwstr>Public</vt:lpwstr>
  </property>
</Properties>
</file>